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29" w:type="dxa"/>
        <w:tblCellMar>
          <w:top w:w="4" w:type="dxa"/>
          <w:right w:w="115" w:type="dxa"/>
        </w:tblCellMar>
        <w:tblLook w:val="04A0" w:firstRow="1" w:lastRow="0" w:firstColumn="1" w:lastColumn="0" w:noHBand="0" w:noVBand="1"/>
      </w:tblPr>
      <w:tblGrid>
        <w:gridCol w:w="1396"/>
        <w:gridCol w:w="8074"/>
      </w:tblGrid>
      <w:tr w:rsidR="00B43145" w14:paraId="4AFA1546" w14:textId="77777777" w:rsidTr="00B73900">
        <w:trPr>
          <w:trHeight w:val="340"/>
        </w:trPr>
        <w:tc>
          <w:tcPr>
            <w:tcW w:w="1396" w:type="dxa"/>
            <w:tcBorders>
              <w:top w:val="single" w:sz="12" w:space="0" w:color="000000"/>
              <w:left w:val="single" w:sz="12" w:space="0" w:color="000000"/>
              <w:bottom w:val="nil"/>
              <w:right w:val="nil"/>
            </w:tcBorders>
          </w:tcPr>
          <w:p w14:paraId="1D2CB59C" w14:textId="77777777" w:rsidR="00B43145" w:rsidRDefault="00CF169F">
            <w:pPr>
              <w:spacing w:after="0" w:line="259" w:lineRule="auto"/>
              <w:ind w:left="108" w:right="0" w:firstLine="0"/>
              <w:jc w:val="left"/>
            </w:pPr>
            <w:r>
              <w:rPr>
                <w:b/>
                <w:sz w:val="28"/>
              </w:rPr>
              <w:t xml:space="preserve"> </w:t>
            </w:r>
          </w:p>
        </w:tc>
        <w:tc>
          <w:tcPr>
            <w:tcW w:w="8074" w:type="dxa"/>
            <w:tcBorders>
              <w:top w:val="single" w:sz="12" w:space="0" w:color="000000"/>
              <w:left w:val="nil"/>
              <w:bottom w:val="nil"/>
              <w:right w:val="single" w:sz="12" w:space="0" w:color="000000"/>
            </w:tcBorders>
          </w:tcPr>
          <w:p w14:paraId="573FF07F" w14:textId="099975F0" w:rsidR="00B43145" w:rsidRDefault="00CF169F">
            <w:pPr>
              <w:spacing w:after="0" w:line="259" w:lineRule="auto"/>
              <w:ind w:left="4549" w:right="0" w:firstLine="0"/>
              <w:jc w:val="left"/>
            </w:pPr>
            <w:r>
              <w:rPr>
                <w:b/>
                <w:sz w:val="28"/>
              </w:rPr>
              <w:t xml:space="preserve">Unit ID: </w:t>
            </w:r>
            <w:r w:rsidR="00082A7F">
              <w:rPr>
                <w:b/>
                <w:sz w:val="28"/>
              </w:rPr>
              <w:t>BM04</w:t>
            </w:r>
            <w:r w:rsidR="005666DF">
              <w:rPr>
                <w:b/>
                <w:sz w:val="28"/>
              </w:rPr>
              <w:t xml:space="preserve"> </w:t>
            </w:r>
          </w:p>
        </w:tc>
      </w:tr>
      <w:tr w:rsidR="00B43145" w14:paraId="4546AE7B" w14:textId="77777777" w:rsidTr="00B73900">
        <w:trPr>
          <w:trHeight w:val="322"/>
        </w:trPr>
        <w:tc>
          <w:tcPr>
            <w:tcW w:w="1396" w:type="dxa"/>
            <w:tcBorders>
              <w:top w:val="nil"/>
              <w:left w:val="single" w:sz="12" w:space="0" w:color="000000"/>
              <w:bottom w:val="nil"/>
              <w:right w:val="nil"/>
            </w:tcBorders>
          </w:tcPr>
          <w:p w14:paraId="770EEFCC" w14:textId="77777777" w:rsidR="00B43145" w:rsidRDefault="00CF169F">
            <w:pPr>
              <w:spacing w:after="0" w:line="259" w:lineRule="auto"/>
              <w:ind w:left="108" w:right="0" w:firstLine="0"/>
              <w:jc w:val="left"/>
            </w:pPr>
            <w:r>
              <w:rPr>
                <w:b/>
                <w:sz w:val="28"/>
              </w:rPr>
              <w:t>Domain</w:t>
            </w:r>
            <w:r>
              <w:t xml:space="preserve"> </w:t>
            </w:r>
          </w:p>
        </w:tc>
        <w:tc>
          <w:tcPr>
            <w:tcW w:w="8074" w:type="dxa"/>
            <w:tcBorders>
              <w:top w:val="nil"/>
              <w:left w:val="nil"/>
              <w:bottom w:val="nil"/>
              <w:right w:val="single" w:sz="12" w:space="0" w:color="000000"/>
            </w:tcBorders>
          </w:tcPr>
          <w:p w14:paraId="13126F5B" w14:textId="180A29E3" w:rsidR="00B43145" w:rsidRDefault="00CF169F" w:rsidP="00F52D4C">
            <w:pPr>
              <w:tabs>
                <w:tab w:val="center" w:pos="2773"/>
                <w:tab w:val="center" w:pos="5761"/>
              </w:tabs>
              <w:spacing w:after="0" w:line="259" w:lineRule="auto"/>
              <w:ind w:left="0" w:right="0" w:firstLine="0"/>
              <w:jc w:val="left"/>
            </w:pPr>
            <w:r>
              <w:rPr>
                <w:rFonts w:ascii="Calibri" w:eastAsia="Calibri" w:hAnsi="Calibri" w:cs="Calibri"/>
              </w:rPr>
              <w:tab/>
            </w:r>
            <w:r w:rsidR="00F52D4C">
              <w:rPr>
                <w:b/>
                <w:sz w:val="28"/>
              </w:rPr>
              <w:t>BOILERMAKING</w:t>
            </w:r>
          </w:p>
        </w:tc>
      </w:tr>
      <w:tr w:rsidR="00B43145" w14:paraId="20525D0D" w14:textId="77777777" w:rsidTr="00B73900">
        <w:trPr>
          <w:trHeight w:val="345"/>
        </w:trPr>
        <w:tc>
          <w:tcPr>
            <w:tcW w:w="1396" w:type="dxa"/>
            <w:tcBorders>
              <w:top w:val="nil"/>
              <w:left w:val="single" w:sz="12" w:space="0" w:color="000000"/>
              <w:bottom w:val="nil"/>
              <w:right w:val="nil"/>
            </w:tcBorders>
          </w:tcPr>
          <w:p w14:paraId="43A075E8" w14:textId="77777777" w:rsidR="00B43145" w:rsidRDefault="00CF169F">
            <w:pPr>
              <w:spacing w:after="0" w:line="259" w:lineRule="auto"/>
              <w:ind w:left="108" w:right="0" w:firstLine="0"/>
              <w:jc w:val="left"/>
            </w:pPr>
            <w:r>
              <w:rPr>
                <w:b/>
                <w:sz w:val="28"/>
              </w:rPr>
              <w:t>Title:</w:t>
            </w:r>
            <w:r>
              <w:t xml:space="preserve"> </w:t>
            </w:r>
          </w:p>
        </w:tc>
        <w:tc>
          <w:tcPr>
            <w:tcW w:w="8074" w:type="dxa"/>
            <w:tcBorders>
              <w:top w:val="nil"/>
              <w:left w:val="nil"/>
              <w:bottom w:val="nil"/>
              <w:right w:val="single" w:sz="12" w:space="0" w:color="000000"/>
            </w:tcBorders>
          </w:tcPr>
          <w:p w14:paraId="669940A8" w14:textId="06071E50" w:rsidR="00B43145" w:rsidRDefault="00CF169F" w:rsidP="00B73900">
            <w:pPr>
              <w:spacing w:after="0" w:line="259" w:lineRule="auto"/>
              <w:ind w:right="0"/>
              <w:jc w:val="left"/>
            </w:pPr>
            <w:r>
              <w:rPr>
                <w:b/>
                <w:sz w:val="28"/>
              </w:rPr>
              <w:t>Interpret</w:t>
            </w:r>
            <w:r w:rsidR="00B27DC3">
              <w:rPr>
                <w:b/>
                <w:sz w:val="28"/>
              </w:rPr>
              <w:t xml:space="preserve"> and Draw</w:t>
            </w:r>
            <w:r>
              <w:rPr>
                <w:b/>
                <w:sz w:val="28"/>
              </w:rPr>
              <w:t xml:space="preserve"> </w:t>
            </w:r>
            <w:r w:rsidR="00BE13BD">
              <w:rPr>
                <w:b/>
                <w:sz w:val="28"/>
              </w:rPr>
              <w:t xml:space="preserve">Geometrical </w:t>
            </w:r>
            <w:r w:rsidR="00082A7F">
              <w:rPr>
                <w:b/>
                <w:sz w:val="28"/>
              </w:rPr>
              <w:t xml:space="preserve">Drawings </w:t>
            </w:r>
            <w:r w:rsidR="00B73900">
              <w:rPr>
                <w:b/>
                <w:sz w:val="28"/>
              </w:rPr>
              <w:t>a</w:t>
            </w:r>
            <w:r w:rsidR="00082A7F">
              <w:rPr>
                <w:b/>
                <w:sz w:val="28"/>
              </w:rPr>
              <w:t xml:space="preserve">nd Sketches </w:t>
            </w:r>
            <w:r w:rsidR="00082A7F">
              <w:t xml:space="preserve"> </w:t>
            </w:r>
          </w:p>
        </w:tc>
      </w:tr>
      <w:tr w:rsidR="00B43145" w14:paraId="6D3091F9" w14:textId="77777777" w:rsidTr="00B73900">
        <w:trPr>
          <w:trHeight w:val="338"/>
        </w:trPr>
        <w:tc>
          <w:tcPr>
            <w:tcW w:w="1396" w:type="dxa"/>
            <w:tcBorders>
              <w:top w:val="nil"/>
              <w:left w:val="single" w:sz="12" w:space="0" w:color="000000"/>
              <w:bottom w:val="single" w:sz="12" w:space="0" w:color="000000"/>
              <w:right w:val="nil"/>
            </w:tcBorders>
          </w:tcPr>
          <w:p w14:paraId="12C88468" w14:textId="19701DC4" w:rsidR="00B43145" w:rsidRDefault="00CF169F">
            <w:pPr>
              <w:spacing w:after="0" w:line="259" w:lineRule="auto"/>
              <w:ind w:left="108" w:right="0" w:firstLine="0"/>
              <w:jc w:val="left"/>
            </w:pPr>
            <w:r>
              <w:rPr>
                <w:b/>
                <w:sz w:val="28"/>
              </w:rPr>
              <w:t xml:space="preserve">Level: </w:t>
            </w:r>
            <w:r w:rsidR="00803899">
              <w:rPr>
                <w:b/>
                <w:sz w:val="28"/>
              </w:rPr>
              <w:t>2</w:t>
            </w:r>
            <w:r>
              <w:t xml:space="preserve"> </w:t>
            </w:r>
          </w:p>
        </w:tc>
        <w:tc>
          <w:tcPr>
            <w:tcW w:w="8074" w:type="dxa"/>
            <w:tcBorders>
              <w:top w:val="nil"/>
              <w:left w:val="nil"/>
              <w:bottom w:val="single" w:sz="12" w:space="0" w:color="000000"/>
              <w:right w:val="single" w:sz="12" w:space="0" w:color="000000"/>
            </w:tcBorders>
          </w:tcPr>
          <w:p w14:paraId="318C449A" w14:textId="7D329A54" w:rsidR="00B43145" w:rsidRDefault="00CF169F" w:rsidP="00B27DC3">
            <w:pPr>
              <w:tabs>
                <w:tab w:val="center" w:pos="6407"/>
              </w:tabs>
              <w:spacing w:after="0" w:line="259" w:lineRule="auto"/>
              <w:ind w:left="0" w:right="0" w:firstLine="0"/>
              <w:jc w:val="left"/>
            </w:pPr>
            <w:r>
              <w:t xml:space="preserve"> </w:t>
            </w:r>
            <w:r>
              <w:tab/>
            </w:r>
            <w:r>
              <w:rPr>
                <w:b/>
                <w:sz w:val="28"/>
              </w:rPr>
              <w:t xml:space="preserve">Credits: </w:t>
            </w:r>
            <w:r w:rsidR="00562563">
              <w:rPr>
                <w:b/>
                <w:sz w:val="28"/>
              </w:rPr>
              <w:t>4</w:t>
            </w:r>
            <w:r>
              <w:t xml:space="preserve"> </w:t>
            </w:r>
          </w:p>
        </w:tc>
      </w:tr>
    </w:tbl>
    <w:p w14:paraId="7B5CE8FA" w14:textId="77777777" w:rsidR="00B43145" w:rsidRDefault="00CF169F">
      <w:pPr>
        <w:spacing w:after="0" w:line="259" w:lineRule="auto"/>
        <w:ind w:left="14" w:right="0" w:firstLine="0"/>
        <w:jc w:val="left"/>
      </w:pPr>
      <w:r>
        <w:t xml:space="preserve"> </w:t>
      </w:r>
    </w:p>
    <w:p w14:paraId="3662B1D6" w14:textId="77777777" w:rsidR="00B43145" w:rsidRDefault="00CF169F">
      <w:pPr>
        <w:pStyle w:val="Heading1"/>
        <w:ind w:left="9"/>
      </w:pPr>
      <w:r>
        <w:t>Purpose</w:t>
      </w:r>
      <w:r>
        <w:rPr>
          <w:u w:val="none"/>
        </w:rPr>
        <w:t xml:space="preserve"> </w:t>
      </w:r>
    </w:p>
    <w:p w14:paraId="034D31B1" w14:textId="77777777" w:rsidR="00B43145" w:rsidRDefault="00CF169F">
      <w:pPr>
        <w:spacing w:after="0" w:line="259" w:lineRule="auto"/>
        <w:ind w:left="14" w:right="0" w:firstLine="0"/>
        <w:jc w:val="left"/>
      </w:pPr>
      <w:r>
        <w:t xml:space="preserve"> </w:t>
      </w:r>
    </w:p>
    <w:p w14:paraId="437809B3" w14:textId="309C251C" w:rsidR="00B43145" w:rsidRDefault="00CF169F">
      <w:pPr>
        <w:ind w:left="9" w:right="0"/>
      </w:pPr>
      <w:r>
        <w:t xml:space="preserve">This unit standard is intended for those who interpret and draw </w:t>
      </w:r>
      <w:r w:rsidR="00BA163C">
        <w:t xml:space="preserve">geometrical </w:t>
      </w:r>
      <w:r>
        <w:t>drawings and sketches</w:t>
      </w:r>
      <w:r w:rsidR="00BA163C">
        <w:t xml:space="preserve">. </w:t>
      </w:r>
      <w:r>
        <w:t xml:space="preserve">People credited with this unit standards </w:t>
      </w:r>
      <w:proofErr w:type="gramStart"/>
      <w:r>
        <w:t>are able to</w:t>
      </w:r>
      <w:proofErr w:type="gramEnd"/>
      <w:r>
        <w:t xml:space="preserve"> </w:t>
      </w:r>
      <w:r w:rsidR="00BA163C">
        <w:t xml:space="preserve">draw geometric drawings and </w:t>
      </w:r>
      <w:r>
        <w:t>sketches</w:t>
      </w:r>
      <w:r w:rsidR="00BA163C">
        <w:t>.</w:t>
      </w:r>
    </w:p>
    <w:p w14:paraId="6F18ECEC" w14:textId="77777777" w:rsidR="00B43145" w:rsidRDefault="00CF169F">
      <w:pPr>
        <w:spacing w:after="0" w:line="259" w:lineRule="auto"/>
        <w:ind w:left="14" w:right="0" w:firstLine="0"/>
        <w:jc w:val="left"/>
      </w:pPr>
      <w:r>
        <w:t xml:space="preserve"> </w:t>
      </w:r>
    </w:p>
    <w:p w14:paraId="2A4602DC" w14:textId="1E0B3096" w:rsidR="00B43145" w:rsidRDefault="00CF169F">
      <w:pPr>
        <w:ind w:left="9" w:right="0"/>
      </w:pPr>
      <w:r>
        <w:t>This unit standard is intended for those who work as</w:t>
      </w:r>
      <w:r w:rsidR="00B73900">
        <w:t xml:space="preserve"> </w:t>
      </w:r>
      <w:r>
        <w:t xml:space="preserve">Boilermakers </w:t>
      </w:r>
    </w:p>
    <w:p w14:paraId="5AE885C4" w14:textId="77777777" w:rsidR="00B43145" w:rsidRDefault="00CF169F">
      <w:pPr>
        <w:spacing w:after="0" w:line="259" w:lineRule="auto"/>
        <w:ind w:left="14" w:right="0" w:firstLine="0"/>
        <w:jc w:val="left"/>
      </w:pPr>
      <w:r>
        <w:t xml:space="preserve"> </w:t>
      </w:r>
    </w:p>
    <w:p w14:paraId="256093DC" w14:textId="77777777" w:rsidR="00B43145" w:rsidRDefault="00CF169F">
      <w:pPr>
        <w:pStyle w:val="Heading1"/>
        <w:ind w:left="9"/>
      </w:pPr>
      <w:r>
        <w:t>Special Notes</w:t>
      </w:r>
      <w:r>
        <w:rPr>
          <w:u w:val="none"/>
        </w:rPr>
        <w:t xml:space="preserve"> </w:t>
      </w:r>
    </w:p>
    <w:p w14:paraId="051528BB" w14:textId="77777777" w:rsidR="00B43145" w:rsidRDefault="00CF169F">
      <w:pPr>
        <w:spacing w:after="0" w:line="259" w:lineRule="auto"/>
        <w:ind w:left="14" w:right="0" w:firstLine="0"/>
        <w:jc w:val="left"/>
      </w:pPr>
      <w:r>
        <w:rPr>
          <w:sz w:val="24"/>
        </w:rPr>
        <w:t xml:space="preserve"> </w:t>
      </w:r>
    </w:p>
    <w:p w14:paraId="17C83E31" w14:textId="77777777" w:rsidR="00B43145" w:rsidRDefault="00CF169F">
      <w:pPr>
        <w:numPr>
          <w:ilvl w:val="0"/>
          <w:numId w:val="1"/>
        </w:numPr>
        <w:ind w:right="0" w:hanging="708"/>
      </w:pPr>
      <w:r>
        <w:t xml:space="preserve">Entry information </w:t>
      </w:r>
    </w:p>
    <w:p w14:paraId="78069060" w14:textId="77777777" w:rsidR="00B43145" w:rsidRDefault="00CF169F">
      <w:pPr>
        <w:spacing w:after="0" w:line="259" w:lineRule="auto"/>
        <w:ind w:left="14" w:right="0" w:firstLine="0"/>
        <w:jc w:val="left"/>
      </w:pPr>
      <w:r>
        <w:t xml:space="preserve"> </w:t>
      </w:r>
    </w:p>
    <w:p w14:paraId="2EDDA405" w14:textId="77777777" w:rsidR="00B43145" w:rsidRDefault="00CF169F">
      <w:pPr>
        <w:ind w:left="744" w:right="0"/>
      </w:pPr>
      <w:r>
        <w:t xml:space="preserve">Prerequisite: </w:t>
      </w:r>
    </w:p>
    <w:p w14:paraId="3D61C20A" w14:textId="77777777" w:rsidR="00B73900" w:rsidRPr="00B73900" w:rsidRDefault="00B73900" w:rsidP="00B73900">
      <w:pPr>
        <w:numPr>
          <w:ilvl w:val="1"/>
          <w:numId w:val="1"/>
        </w:numPr>
        <w:ind w:right="0" w:hanging="360"/>
      </w:pPr>
      <w:r>
        <w:rPr>
          <w:iCs/>
        </w:rPr>
        <w:t>None</w:t>
      </w:r>
    </w:p>
    <w:p w14:paraId="43873604" w14:textId="2AF613C9" w:rsidR="00B43145" w:rsidRDefault="00CF169F" w:rsidP="00B73900">
      <w:pPr>
        <w:ind w:left="1094" w:right="0" w:firstLine="0"/>
      </w:pPr>
      <w:r>
        <w:t xml:space="preserve"> </w:t>
      </w:r>
    </w:p>
    <w:p w14:paraId="35301544" w14:textId="77777777" w:rsidR="00B43145" w:rsidRDefault="00CF169F">
      <w:pPr>
        <w:numPr>
          <w:ilvl w:val="0"/>
          <w:numId w:val="1"/>
        </w:numPr>
        <w:ind w:right="0" w:hanging="708"/>
      </w:pPr>
      <w:r>
        <w:t xml:space="preserve">To demonstrate competence, at a minimum, evidence is required of interpreting and drawing basic engineering drawings for two different projects. These tasks should be performed ensuring correct identification of requirements and finishing of the tasks, correct selection and use of appropriate processes, tools and equipment and completing all work to specification. </w:t>
      </w:r>
    </w:p>
    <w:p w14:paraId="10AC9511" w14:textId="77777777" w:rsidR="00B43145" w:rsidRDefault="00CF169F">
      <w:pPr>
        <w:spacing w:after="0" w:line="259" w:lineRule="auto"/>
        <w:ind w:left="14" w:right="0" w:firstLine="0"/>
        <w:jc w:val="left"/>
      </w:pPr>
      <w:r>
        <w:t xml:space="preserve"> </w:t>
      </w:r>
    </w:p>
    <w:p w14:paraId="47DF6BF7" w14:textId="77777777" w:rsidR="00B43145" w:rsidRDefault="00CF169F">
      <w:pPr>
        <w:numPr>
          <w:ilvl w:val="0"/>
          <w:numId w:val="1"/>
        </w:numPr>
        <w:ind w:right="0" w:hanging="708"/>
      </w:pPr>
      <w:r>
        <w:t xml:space="preserve">Assessment evidence may be collected from a real workplace or a simulated real workplace or simulated realistic environment in which metal fabrication operations are carried out. </w:t>
      </w:r>
    </w:p>
    <w:p w14:paraId="613DC4CF" w14:textId="77777777" w:rsidR="00B43145" w:rsidRDefault="00CF169F">
      <w:pPr>
        <w:spacing w:after="18" w:line="259" w:lineRule="auto"/>
        <w:ind w:left="14" w:right="0" w:firstLine="0"/>
        <w:jc w:val="left"/>
      </w:pPr>
      <w:r>
        <w:t xml:space="preserve"> </w:t>
      </w:r>
    </w:p>
    <w:p w14:paraId="19B4307D" w14:textId="77777777" w:rsidR="00B43145" w:rsidRDefault="00CF169F">
      <w:pPr>
        <w:numPr>
          <w:ilvl w:val="0"/>
          <w:numId w:val="1"/>
        </w:numPr>
        <w:ind w:right="0" w:hanging="708"/>
      </w:pPr>
      <w:r>
        <w:t xml:space="preserve">Performance of all elements in this unit standard must comply with manufacturers’ specifications and workplace specific requirements. </w:t>
      </w:r>
    </w:p>
    <w:p w14:paraId="30B4E57B" w14:textId="77777777" w:rsidR="00B43145" w:rsidRDefault="00CF169F">
      <w:pPr>
        <w:spacing w:after="9" w:line="259" w:lineRule="auto"/>
        <w:ind w:left="14" w:right="0" w:firstLine="0"/>
        <w:jc w:val="left"/>
      </w:pPr>
      <w:r>
        <w:t xml:space="preserve"> </w:t>
      </w:r>
    </w:p>
    <w:p w14:paraId="26D470C2" w14:textId="77777777" w:rsidR="00B43145" w:rsidRDefault="00CF169F">
      <w:pPr>
        <w:numPr>
          <w:ilvl w:val="0"/>
          <w:numId w:val="1"/>
        </w:numPr>
        <w:ind w:right="0" w:hanging="708"/>
      </w:pPr>
      <w:r>
        <w:rPr>
          <w:i/>
        </w:rPr>
        <w:t>‘Specifications’</w:t>
      </w:r>
      <w:r>
        <w:t xml:space="preserve"> refers to any, or all of the following: manufacturers’ specifications and recommendations, site and workplace specific requirements, as well as design information. </w:t>
      </w:r>
    </w:p>
    <w:p w14:paraId="3EF68A7C" w14:textId="77777777" w:rsidR="00B43145" w:rsidRDefault="00CF169F">
      <w:pPr>
        <w:spacing w:after="0" w:line="259" w:lineRule="auto"/>
        <w:ind w:left="14" w:right="0" w:firstLine="0"/>
        <w:jc w:val="left"/>
      </w:pPr>
      <w:r>
        <w:t xml:space="preserve"> </w:t>
      </w:r>
    </w:p>
    <w:p w14:paraId="132B7FE1" w14:textId="77777777" w:rsidR="00B43145" w:rsidRDefault="00CF169F">
      <w:pPr>
        <w:numPr>
          <w:ilvl w:val="0"/>
          <w:numId w:val="1"/>
        </w:numPr>
        <w:ind w:right="0" w:hanging="708"/>
      </w:pPr>
      <w:r>
        <w:t xml:space="preserve">Regulations and legislation relevant to this unit standard include the following: </w:t>
      </w:r>
    </w:p>
    <w:p w14:paraId="06D5A37F" w14:textId="77777777" w:rsidR="00B43145" w:rsidRDefault="00CF169F">
      <w:pPr>
        <w:numPr>
          <w:ilvl w:val="1"/>
          <w:numId w:val="1"/>
        </w:numPr>
        <w:ind w:right="0" w:hanging="360"/>
      </w:pPr>
      <w:r>
        <w:t xml:space="preserve">Occupational Health and Safety Regulations No. 18, 1997 </w:t>
      </w:r>
    </w:p>
    <w:p w14:paraId="4CEE00EC" w14:textId="77777777" w:rsidR="00B43145" w:rsidRDefault="00CF169F">
      <w:pPr>
        <w:spacing w:after="0" w:line="259" w:lineRule="auto"/>
        <w:ind w:left="722" w:right="0" w:firstLine="0"/>
        <w:jc w:val="left"/>
      </w:pPr>
      <w:r>
        <w:t xml:space="preserve"> </w:t>
      </w:r>
    </w:p>
    <w:p w14:paraId="61A64A01" w14:textId="77777777" w:rsidR="00B43145" w:rsidRDefault="00CF169F">
      <w:pPr>
        <w:numPr>
          <w:ilvl w:val="1"/>
          <w:numId w:val="1"/>
        </w:numPr>
        <w:ind w:right="0" w:hanging="360"/>
      </w:pPr>
      <w:r>
        <w:t xml:space="preserve">Labour Act 11 of 2007 and all subsequent amendments. </w:t>
      </w:r>
    </w:p>
    <w:p w14:paraId="4371F443" w14:textId="77777777" w:rsidR="00B43145" w:rsidRDefault="00CF169F">
      <w:pPr>
        <w:spacing w:after="0" w:line="259" w:lineRule="auto"/>
        <w:ind w:left="14" w:right="0" w:firstLine="0"/>
        <w:jc w:val="left"/>
      </w:pPr>
      <w:r>
        <w:rPr>
          <w:i/>
        </w:rPr>
        <w:t xml:space="preserve"> </w:t>
      </w:r>
    </w:p>
    <w:p w14:paraId="05B47766" w14:textId="77777777" w:rsidR="00B43145" w:rsidRDefault="00CF169F">
      <w:pPr>
        <w:spacing w:after="0" w:line="259" w:lineRule="auto"/>
        <w:ind w:left="14" w:right="0" w:firstLine="0"/>
        <w:jc w:val="left"/>
      </w:pPr>
      <w:r>
        <w:rPr>
          <w:i/>
        </w:rPr>
        <w:t xml:space="preserve"> </w:t>
      </w:r>
    </w:p>
    <w:p w14:paraId="77553B59" w14:textId="77777777" w:rsidR="00B43145" w:rsidRDefault="00CF169F">
      <w:pPr>
        <w:spacing w:after="259" w:line="259" w:lineRule="auto"/>
        <w:ind w:left="14" w:right="0" w:firstLine="0"/>
        <w:jc w:val="left"/>
      </w:pPr>
      <w:r>
        <w:rPr>
          <w:i/>
        </w:rPr>
        <w:t xml:space="preserve"> </w:t>
      </w:r>
    </w:p>
    <w:p w14:paraId="1BD2C77C" w14:textId="77777777" w:rsidR="00B43145" w:rsidRDefault="00CF169F">
      <w:pPr>
        <w:tabs>
          <w:tab w:val="center" w:pos="4695"/>
          <w:tab w:val="right" w:pos="9380"/>
        </w:tabs>
        <w:spacing w:after="0" w:line="259" w:lineRule="auto"/>
        <w:ind w:left="-1" w:right="-13" w:firstLine="0"/>
        <w:jc w:val="left"/>
      </w:pPr>
      <w:r>
        <w:rPr>
          <w:sz w:val="18"/>
        </w:rPr>
        <w:t xml:space="preserve">©Namibia Qualifications Authority </w:t>
      </w:r>
      <w:r>
        <w:rPr>
          <w:sz w:val="18"/>
        </w:rPr>
        <w:tab/>
        <w:t xml:space="preserve"> </w:t>
      </w:r>
      <w:r>
        <w:rPr>
          <w:sz w:val="18"/>
        </w:rPr>
        <w:tab/>
        <w:t xml:space="preserve">1 </w:t>
      </w:r>
    </w:p>
    <w:p w14:paraId="003BA728" w14:textId="77777777" w:rsidR="00B43145" w:rsidRDefault="00CF169F">
      <w:pPr>
        <w:spacing w:after="0" w:line="259" w:lineRule="auto"/>
        <w:ind w:left="14" w:right="0" w:firstLine="0"/>
        <w:jc w:val="left"/>
      </w:pPr>
      <w:r>
        <w:rPr>
          <w:sz w:val="18"/>
        </w:rPr>
        <w:t xml:space="preserve"> </w:t>
      </w:r>
    </w:p>
    <w:p w14:paraId="011999FF" w14:textId="77777777" w:rsidR="00BA163C" w:rsidRDefault="00BA163C">
      <w:pPr>
        <w:pStyle w:val="Heading1"/>
        <w:ind w:left="9"/>
      </w:pPr>
    </w:p>
    <w:p w14:paraId="0B886B79" w14:textId="71486362" w:rsidR="00B43145" w:rsidRDefault="00CF169F">
      <w:pPr>
        <w:pStyle w:val="Heading1"/>
        <w:ind w:left="9"/>
      </w:pPr>
      <w:r>
        <w:t>Quality Assurance Requirements</w:t>
      </w:r>
      <w:r>
        <w:rPr>
          <w:u w:val="none"/>
        </w:rPr>
        <w:t xml:space="preserve"> </w:t>
      </w:r>
    </w:p>
    <w:p w14:paraId="0B8FAE72" w14:textId="77777777" w:rsidR="00B43145" w:rsidRDefault="00CF169F">
      <w:pPr>
        <w:spacing w:after="0" w:line="259" w:lineRule="auto"/>
        <w:ind w:left="14" w:right="0" w:firstLine="0"/>
        <w:jc w:val="left"/>
      </w:pPr>
      <w:r>
        <w:t xml:space="preserve"> </w:t>
      </w:r>
    </w:p>
    <w:p w14:paraId="2223F0B9" w14:textId="77777777" w:rsidR="00B43145" w:rsidRDefault="00CF169F">
      <w:pPr>
        <w:ind w:left="9" w:right="0"/>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6" w:history="1">
        <w:r w:rsidR="00A93925" w:rsidRPr="00E62B7E">
          <w:rPr>
            <w:rStyle w:val="Hyperlink"/>
          </w:rPr>
          <w:t>www.namqa.org</w:t>
        </w:r>
      </w:hyperlink>
      <w:r w:rsidR="00A93925">
        <w:t xml:space="preserve"> </w:t>
      </w:r>
      <w:r>
        <w:t xml:space="preserve">and the Namibia Training Authority on </w:t>
      </w:r>
      <w:hyperlink r:id="rId7">
        <w:r>
          <w:rPr>
            <w:color w:val="0000FF"/>
            <w:u w:val="single" w:color="0000FF"/>
          </w:rPr>
          <w:t>www.nta.com.na</w:t>
        </w:r>
      </w:hyperlink>
      <w:hyperlink r:id="rId8">
        <w:r>
          <w:t>.</w:t>
        </w:r>
      </w:hyperlink>
      <w:r>
        <w:t xml:space="preserve"> </w:t>
      </w:r>
    </w:p>
    <w:p w14:paraId="57D69EF5" w14:textId="77777777" w:rsidR="00B43145" w:rsidRDefault="00CF169F">
      <w:pPr>
        <w:spacing w:after="0" w:line="259" w:lineRule="auto"/>
        <w:ind w:left="14" w:right="0" w:firstLine="0"/>
        <w:jc w:val="left"/>
      </w:pPr>
      <w:r>
        <w:t xml:space="preserve"> </w:t>
      </w:r>
    </w:p>
    <w:p w14:paraId="2F48C1BD" w14:textId="07F20503" w:rsidR="00B43145" w:rsidRDefault="00B43145" w:rsidP="00B73900">
      <w:pPr>
        <w:spacing w:after="0" w:line="259" w:lineRule="auto"/>
        <w:ind w:right="0"/>
        <w:jc w:val="left"/>
      </w:pPr>
    </w:p>
    <w:p w14:paraId="153D417C" w14:textId="77777777" w:rsidR="00B43145" w:rsidRDefault="00CF169F">
      <w:pPr>
        <w:spacing w:after="0" w:line="259" w:lineRule="auto"/>
        <w:ind w:left="14" w:right="0" w:firstLine="0"/>
        <w:jc w:val="left"/>
      </w:pPr>
      <w:r>
        <w:t xml:space="preserve"> </w:t>
      </w:r>
    </w:p>
    <w:p w14:paraId="6A05F302" w14:textId="32D5087A" w:rsidR="00B43145" w:rsidRDefault="00CF169F">
      <w:pPr>
        <w:spacing w:after="0" w:line="259" w:lineRule="auto"/>
        <w:ind w:left="9" w:right="0"/>
        <w:jc w:val="left"/>
      </w:pPr>
      <w:r>
        <w:rPr>
          <w:b/>
          <w:u w:val="single" w:color="000000"/>
        </w:rPr>
        <w:t xml:space="preserve">Element </w:t>
      </w:r>
      <w:r w:rsidR="008B29D1">
        <w:rPr>
          <w:b/>
          <w:u w:val="single" w:color="000000"/>
        </w:rPr>
        <w:t>1</w:t>
      </w:r>
      <w:r>
        <w:rPr>
          <w:b/>
          <w:u w:val="single" w:color="000000"/>
        </w:rPr>
        <w:t xml:space="preserve">: Draw </w:t>
      </w:r>
      <w:r w:rsidR="008A7D16">
        <w:rPr>
          <w:b/>
          <w:u w:val="single" w:color="000000"/>
        </w:rPr>
        <w:t>Geometric drawings and sketches</w:t>
      </w:r>
      <w:r>
        <w:rPr>
          <w:b/>
          <w:u w:val="single" w:color="000000"/>
        </w:rPr>
        <w:t xml:space="preserve"> </w:t>
      </w:r>
      <w:r>
        <w:rPr>
          <w:b/>
        </w:rPr>
        <w:t xml:space="preserve"> </w:t>
      </w:r>
    </w:p>
    <w:p w14:paraId="01488014" w14:textId="77777777" w:rsidR="00B43145" w:rsidRDefault="00CF169F">
      <w:pPr>
        <w:spacing w:after="0" w:line="259" w:lineRule="auto"/>
        <w:ind w:left="14" w:right="0" w:firstLine="0"/>
        <w:jc w:val="left"/>
      </w:pPr>
      <w:r>
        <w:t xml:space="preserve"> </w:t>
      </w:r>
    </w:p>
    <w:p w14:paraId="55662567" w14:textId="77777777" w:rsidR="00B43145" w:rsidRDefault="00CF169F">
      <w:pPr>
        <w:pStyle w:val="Heading1"/>
        <w:ind w:left="9"/>
      </w:pPr>
      <w:r>
        <w:t>Performance Criteria</w:t>
      </w:r>
      <w:r>
        <w:rPr>
          <w:u w:val="none"/>
        </w:rPr>
        <w:t xml:space="preserve"> </w:t>
      </w:r>
    </w:p>
    <w:p w14:paraId="3B5514FB" w14:textId="38C8448A" w:rsidR="008B29D1" w:rsidRDefault="008B29D1" w:rsidP="00B73900">
      <w:pPr>
        <w:spacing w:after="0" w:line="259" w:lineRule="auto"/>
        <w:ind w:left="14" w:right="0" w:firstLine="0"/>
        <w:jc w:val="left"/>
      </w:pPr>
    </w:p>
    <w:p w14:paraId="4A12B16E" w14:textId="77777777" w:rsidR="008B29D1" w:rsidRPr="00BC2AEF" w:rsidRDefault="005B7CA2" w:rsidP="00B73900">
      <w:pPr>
        <w:pStyle w:val="ListParagraph"/>
        <w:numPr>
          <w:ilvl w:val="1"/>
          <w:numId w:val="2"/>
        </w:numPr>
        <w:tabs>
          <w:tab w:val="center" w:pos="3053"/>
        </w:tabs>
        <w:spacing w:line="360" w:lineRule="auto"/>
        <w:ind w:left="284" w:right="0" w:hanging="716"/>
        <w:jc w:val="left"/>
      </w:pPr>
      <w:r>
        <w:t>D</w:t>
      </w:r>
      <w:r w:rsidR="008B29D1" w:rsidRPr="00BC2AEF">
        <w:t>ifferent types of lines and their applications</w:t>
      </w:r>
      <w:r>
        <w:t xml:space="preserve"> are explained</w:t>
      </w:r>
      <w:r w:rsidR="00B27DC3">
        <w:t>.</w:t>
      </w:r>
    </w:p>
    <w:p w14:paraId="4A2DB768" w14:textId="77777777" w:rsidR="008B29D1" w:rsidRPr="00BC2AEF" w:rsidRDefault="008B29D1" w:rsidP="00B73900">
      <w:pPr>
        <w:pStyle w:val="ListParagraph"/>
        <w:numPr>
          <w:ilvl w:val="1"/>
          <w:numId w:val="2"/>
        </w:numPr>
        <w:tabs>
          <w:tab w:val="center" w:pos="3053"/>
        </w:tabs>
        <w:spacing w:line="360" w:lineRule="auto"/>
        <w:ind w:left="284" w:right="0" w:hanging="716"/>
        <w:jc w:val="left"/>
      </w:pPr>
      <w:r w:rsidRPr="00BC2AEF">
        <w:t xml:space="preserve">Geometric </w:t>
      </w:r>
      <w:r w:rsidR="00054D9A">
        <w:t xml:space="preserve">drawings and sketches </w:t>
      </w:r>
      <w:r w:rsidR="005B7CA2">
        <w:t xml:space="preserve">are </w:t>
      </w:r>
      <w:r w:rsidR="00054D9A">
        <w:t>c</w:t>
      </w:r>
      <w:r w:rsidR="005B7CA2" w:rsidRPr="00BC2AEF">
        <w:t>onstruct</w:t>
      </w:r>
      <w:r w:rsidR="005B7CA2">
        <w:t>ed</w:t>
      </w:r>
      <w:r w:rsidR="00B27DC3">
        <w:t>.</w:t>
      </w:r>
    </w:p>
    <w:p w14:paraId="56E1E094" w14:textId="77777777" w:rsidR="008B29D1" w:rsidRPr="00BC2AEF" w:rsidRDefault="008B29D1" w:rsidP="00B73900">
      <w:pPr>
        <w:pStyle w:val="ListParagraph"/>
        <w:numPr>
          <w:ilvl w:val="1"/>
          <w:numId w:val="2"/>
        </w:numPr>
        <w:tabs>
          <w:tab w:val="center" w:pos="3053"/>
        </w:tabs>
        <w:spacing w:line="360" w:lineRule="auto"/>
        <w:ind w:left="284" w:right="0" w:hanging="716"/>
        <w:jc w:val="left"/>
      </w:pPr>
      <w:r w:rsidRPr="00BC2AEF">
        <w:t xml:space="preserve">Abbreviations, symbols, signs, and dimensions are </w:t>
      </w:r>
      <w:r w:rsidR="009943F6" w:rsidRPr="00BC2AEF">
        <w:t xml:space="preserve">applied </w:t>
      </w:r>
      <w:r w:rsidR="00210E98">
        <w:t xml:space="preserve">as per </w:t>
      </w:r>
      <w:r w:rsidR="009943F6" w:rsidRPr="00BC2AEF">
        <w:t>drawing specifications</w:t>
      </w:r>
      <w:r w:rsidR="00B27DC3">
        <w:t>.</w:t>
      </w:r>
      <w:r w:rsidRPr="00BC2AEF">
        <w:t xml:space="preserve">  </w:t>
      </w:r>
    </w:p>
    <w:p w14:paraId="327178C4" w14:textId="77777777" w:rsidR="008B29D1" w:rsidRPr="00BC2AEF" w:rsidRDefault="008B29D1" w:rsidP="00B73900">
      <w:pPr>
        <w:pStyle w:val="ListParagraph"/>
        <w:numPr>
          <w:ilvl w:val="1"/>
          <w:numId w:val="2"/>
        </w:numPr>
        <w:tabs>
          <w:tab w:val="center" w:pos="3053"/>
        </w:tabs>
        <w:spacing w:line="360" w:lineRule="auto"/>
        <w:ind w:left="284" w:right="0" w:hanging="716"/>
        <w:jc w:val="left"/>
      </w:pPr>
      <w:r w:rsidRPr="00BC2AEF">
        <w:t xml:space="preserve">Orthographic drawings and </w:t>
      </w:r>
      <w:r w:rsidR="00CF169F" w:rsidRPr="00BC2AEF">
        <w:t>isometrics</w:t>
      </w:r>
      <w:r w:rsidRPr="00BC2AEF">
        <w:t xml:space="preserve"> </w:t>
      </w:r>
      <w:r w:rsidR="00CF169F" w:rsidRPr="00BC2AEF">
        <w:t xml:space="preserve">are drawn </w:t>
      </w:r>
      <w:r w:rsidR="00210E98">
        <w:t>as per drawing</w:t>
      </w:r>
      <w:r w:rsidR="00CF169F" w:rsidRPr="00BC2AEF">
        <w:t xml:space="preserve"> specification</w:t>
      </w:r>
      <w:r w:rsidR="00210E98">
        <w:t>s</w:t>
      </w:r>
      <w:r w:rsidR="00B27DC3">
        <w:t>.</w:t>
      </w:r>
      <w:r w:rsidRPr="00BC2AEF">
        <w:t xml:space="preserve"> </w:t>
      </w:r>
    </w:p>
    <w:p w14:paraId="4632B95D" w14:textId="77777777" w:rsidR="008B29D1" w:rsidRPr="00BC2AEF" w:rsidRDefault="00054D9A" w:rsidP="00B73900">
      <w:pPr>
        <w:pStyle w:val="ListParagraph"/>
        <w:numPr>
          <w:ilvl w:val="1"/>
          <w:numId w:val="2"/>
        </w:numPr>
        <w:tabs>
          <w:tab w:val="center" w:pos="3053"/>
        </w:tabs>
        <w:spacing w:line="360" w:lineRule="auto"/>
        <w:ind w:left="284" w:right="0" w:hanging="716"/>
        <w:jc w:val="left"/>
      </w:pPr>
      <w:r>
        <w:t xml:space="preserve">Geometric drawings  and </w:t>
      </w:r>
      <w:r w:rsidRPr="00BC2AEF">
        <w:t xml:space="preserve">sketches </w:t>
      </w:r>
      <w:r>
        <w:t xml:space="preserve">are interpreted </w:t>
      </w:r>
      <w:r w:rsidR="00B27DC3">
        <w:t>.</w:t>
      </w:r>
      <w:r w:rsidR="008B29D1" w:rsidRPr="00BC2AEF">
        <w:t xml:space="preserve">   </w:t>
      </w:r>
    </w:p>
    <w:p w14:paraId="41BC3183" w14:textId="77777777" w:rsidR="00B43145" w:rsidRDefault="00CF169F">
      <w:pPr>
        <w:spacing w:after="0" w:line="259" w:lineRule="auto"/>
        <w:ind w:left="14" w:right="0" w:firstLine="0"/>
        <w:jc w:val="left"/>
      </w:pPr>
      <w:r>
        <w:t xml:space="preserve"> </w:t>
      </w:r>
    </w:p>
    <w:p w14:paraId="6BC4449B" w14:textId="77777777" w:rsidR="00B43145" w:rsidRDefault="00CF169F">
      <w:pPr>
        <w:pStyle w:val="Heading1"/>
        <w:ind w:left="9"/>
      </w:pPr>
      <w:r>
        <w:t>Registration Data</w:t>
      </w:r>
      <w:r>
        <w:rPr>
          <w:u w:val="none"/>
        </w:rPr>
        <w:t xml:space="preserve"> </w:t>
      </w:r>
    </w:p>
    <w:p w14:paraId="6388DC3A" w14:textId="77777777" w:rsidR="00B43145" w:rsidRDefault="00CF169F">
      <w:pPr>
        <w:spacing w:after="0" w:line="259" w:lineRule="auto"/>
        <w:ind w:left="14" w:right="0" w:firstLine="0"/>
        <w:jc w:val="left"/>
      </w:pPr>
      <w:r>
        <w:t xml:space="preserve"> </w:t>
      </w:r>
    </w:p>
    <w:tbl>
      <w:tblPr>
        <w:tblStyle w:val="TableGrid"/>
        <w:tblW w:w="8750" w:type="dxa"/>
        <w:tblInd w:w="127" w:type="dxa"/>
        <w:tblCellMar>
          <w:top w:w="7" w:type="dxa"/>
          <w:left w:w="108" w:type="dxa"/>
          <w:right w:w="115" w:type="dxa"/>
        </w:tblCellMar>
        <w:tblLook w:val="04A0" w:firstRow="1" w:lastRow="0" w:firstColumn="1" w:lastColumn="0" w:noHBand="0" w:noVBand="1"/>
      </w:tblPr>
      <w:tblGrid>
        <w:gridCol w:w="3601"/>
        <w:gridCol w:w="5149"/>
      </w:tblGrid>
      <w:tr w:rsidR="00B43145" w14:paraId="45B33493"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147588E5" w14:textId="77777777" w:rsidR="00B43145" w:rsidRDefault="00CF169F">
            <w:pPr>
              <w:spacing w:after="0" w:line="259" w:lineRule="auto"/>
              <w:ind w:left="0" w:right="0" w:firstLine="0"/>
              <w:jc w:val="left"/>
            </w:pPr>
            <w:r>
              <w:rPr>
                <w:b/>
              </w:rPr>
              <w:t xml:space="preserve">Subfield: </w:t>
            </w:r>
          </w:p>
        </w:tc>
        <w:tc>
          <w:tcPr>
            <w:tcW w:w="5149" w:type="dxa"/>
            <w:tcBorders>
              <w:top w:val="single" w:sz="4" w:space="0" w:color="000000"/>
              <w:left w:val="single" w:sz="4" w:space="0" w:color="000000"/>
              <w:bottom w:val="single" w:sz="4" w:space="0" w:color="000000"/>
              <w:right w:val="single" w:sz="4" w:space="0" w:color="000000"/>
            </w:tcBorders>
          </w:tcPr>
          <w:p w14:paraId="7C117B46" w14:textId="77777777" w:rsidR="00B43145" w:rsidRDefault="00CF169F">
            <w:pPr>
              <w:spacing w:after="0" w:line="259" w:lineRule="auto"/>
              <w:ind w:left="0" w:right="0" w:firstLine="0"/>
              <w:jc w:val="left"/>
            </w:pPr>
            <w:r w:rsidRPr="00BA163C">
              <w:t>Manufacturing Engineering</w:t>
            </w:r>
            <w:r>
              <w:t xml:space="preserve"> </w:t>
            </w:r>
          </w:p>
        </w:tc>
      </w:tr>
      <w:tr w:rsidR="00B43145" w14:paraId="5AF14A26" w14:textId="77777777">
        <w:trPr>
          <w:trHeight w:val="262"/>
        </w:trPr>
        <w:tc>
          <w:tcPr>
            <w:tcW w:w="3601" w:type="dxa"/>
            <w:tcBorders>
              <w:top w:val="single" w:sz="4" w:space="0" w:color="000000"/>
              <w:left w:val="single" w:sz="4" w:space="0" w:color="000000"/>
              <w:bottom w:val="single" w:sz="4" w:space="0" w:color="000000"/>
              <w:right w:val="nil"/>
            </w:tcBorders>
          </w:tcPr>
          <w:p w14:paraId="06F4C6E5" w14:textId="77777777" w:rsidR="00B43145" w:rsidRDefault="00CF169F">
            <w:pPr>
              <w:spacing w:after="0" w:line="259" w:lineRule="auto"/>
              <w:ind w:left="0" w:right="0" w:firstLine="0"/>
              <w:jc w:val="left"/>
            </w:pPr>
            <w:r>
              <w:rPr>
                <w:b/>
              </w:rPr>
              <w:t xml:space="preserve"> </w:t>
            </w:r>
          </w:p>
        </w:tc>
        <w:tc>
          <w:tcPr>
            <w:tcW w:w="5149" w:type="dxa"/>
            <w:tcBorders>
              <w:top w:val="single" w:sz="4" w:space="0" w:color="000000"/>
              <w:left w:val="nil"/>
              <w:bottom w:val="single" w:sz="4" w:space="0" w:color="000000"/>
              <w:right w:val="single" w:sz="4" w:space="0" w:color="000000"/>
            </w:tcBorders>
          </w:tcPr>
          <w:p w14:paraId="777EEA59" w14:textId="77777777" w:rsidR="00B43145" w:rsidRDefault="00B43145">
            <w:pPr>
              <w:spacing w:after="160" w:line="259" w:lineRule="auto"/>
              <w:ind w:left="0" w:right="0" w:firstLine="0"/>
              <w:jc w:val="left"/>
            </w:pPr>
          </w:p>
        </w:tc>
      </w:tr>
      <w:tr w:rsidR="00B43145" w14:paraId="04044164"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75B66A58" w14:textId="77777777" w:rsidR="00B43145" w:rsidRDefault="00CF169F">
            <w:pPr>
              <w:spacing w:after="0" w:line="259" w:lineRule="auto"/>
              <w:ind w:left="0" w:right="0" w:firstLine="0"/>
              <w:jc w:val="left"/>
            </w:pPr>
            <w:r>
              <w:rPr>
                <w:b/>
              </w:rPr>
              <w:t xml:space="preserve">Date first registered: </w:t>
            </w:r>
          </w:p>
        </w:tc>
        <w:tc>
          <w:tcPr>
            <w:tcW w:w="5149" w:type="dxa"/>
            <w:tcBorders>
              <w:top w:val="single" w:sz="4" w:space="0" w:color="000000"/>
              <w:left w:val="single" w:sz="4" w:space="0" w:color="000000"/>
              <w:bottom w:val="single" w:sz="4" w:space="0" w:color="000000"/>
              <w:right w:val="single" w:sz="4" w:space="0" w:color="000000"/>
            </w:tcBorders>
          </w:tcPr>
          <w:p w14:paraId="721AAA4D" w14:textId="78DD2A90" w:rsidR="00B43145" w:rsidRDefault="00B43145">
            <w:pPr>
              <w:spacing w:after="0" w:line="259" w:lineRule="auto"/>
              <w:ind w:left="0" w:right="0" w:firstLine="0"/>
              <w:jc w:val="left"/>
            </w:pPr>
          </w:p>
        </w:tc>
      </w:tr>
      <w:tr w:rsidR="00B43145" w14:paraId="3E362D2C"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324D3EB8" w14:textId="77777777" w:rsidR="00B43145" w:rsidRDefault="00CF169F">
            <w:pPr>
              <w:spacing w:after="0" w:line="259" w:lineRule="auto"/>
              <w:ind w:left="0" w:right="0" w:firstLine="0"/>
              <w:jc w:val="left"/>
            </w:pPr>
            <w:r>
              <w:rPr>
                <w:b/>
              </w:rPr>
              <w:t xml:space="preserve">Date this version registered: </w:t>
            </w:r>
          </w:p>
        </w:tc>
        <w:tc>
          <w:tcPr>
            <w:tcW w:w="5149" w:type="dxa"/>
            <w:tcBorders>
              <w:top w:val="single" w:sz="4" w:space="0" w:color="000000"/>
              <w:left w:val="single" w:sz="4" w:space="0" w:color="000000"/>
              <w:bottom w:val="single" w:sz="4" w:space="0" w:color="000000"/>
              <w:right w:val="single" w:sz="4" w:space="0" w:color="000000"/>
            </w:tcBorders>
          </w:tcPr>
          <w:p w14:paraId="586BE4D2" w14:textId="57B6C667" w:rsidR="00B43145" w:rsidRDefault="00B43145">
            <w:pPr>
              <w:spacing w:after="0" w:line="259" w:lineRule="auto"/>
              <w:ind w:left="0" w:right="0" w:firstLine="0"/>
              <w:jc w:val="left"/>
            </w:pPr>
          </w:p>
        </w:tc>
      </w:tr>
      <w:tr w:rsidR="00B43145" w14:paraId="0A3E354F"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3F6FC581" w14:textId="77777777" w:rsidR="00B43145" w:rsidRDefault="00CF169F">
            <w:pPr>
              <w:spacing w:after="0" w:line="259" w:lineRule="auto"/>
              <w:ind w:left="0" w:right="0" w:firstLine="0"/>
              <w:jc w:val="left"/>
            </w:pPr>
            <w:r>
              <w:rPr>
                <w:b/>
              </w:rPr>
              <w:t xml:space="preserve">Anticipated review: </w:t>
            </w:r>
          </w:p>
        </w:tc>
        <w:tc>
          <w:tcPr>
            <w:tcW w:w="5149" w:type="dxa"/>
            <w:tcBorders>
              <w:top w:val="single" w:sz="4" w:space="0" w:color="000000"/>
              <w:left w:val="single" w:sz="4" w:space="0" w:color="000000"/>
              <w:bottom w:val="single" w:sz="4" w:space="0" w:color="000000"/>
              <w:right w:val="single" w:sz="4" w:space="0" w:color="000000"/>
            </w:tcBorders>
          </w:tcPr>
          <w:p w14:paraId="3DF8BB82" w14:textId="19E6536F" w:rsidR="00B43145" w:rsidRDefault="00B43145">
            <w:pPr>
              <w:spacing w:after="0" w:line="259" w:lineRule="auto"/>
              <w:ind w:left="0" w:right="0" w:firstLine="0"/>
              <w:jc w:val="left"/>
            </w:pPr>
          </w:p>
        </w:tc>
      </w:tr>
      <w:tr w:rsidR="00B43145" w14:paraId="0ADB1FFE" w14:textId="77777777">
        <w:trPr>
          <w:trHeight w:val="264"/>
        </w:trPr>
        <w:tc>
          <w:tcPr>
            <w:tcW w:w="3601" w:type="dxa"/>
            <w:tcBorders>
              <w:top w:val="single" w:sz="4" w:space="0" w:color="000000"/>
              <w:left w:val="single" w:sz="4" w:space="0" w:color="000000"/>
              <w:bottom w:val="single" w:sz="4" w:space="0" w:color="000000"/>
              <w:right w:val="nil"/>
            </w:tcBorders>
          </w:tcPr>
          <w:p w14:paraId="0F8FCB54" w14:textId="77777777" w:rsidR="00B43145" w:rsidRDefault="00CF169F">
            <w:pPr>
              <w:spacing w:after="0" w:line="259" w:lineRule="auto"/>
              <w:ind w:left="0" w:right="0" w:firstLine="0"/>
              <w:jc w:val="left"/>
            </w:pPr>
            <w:r>
              <w:rPr>
                <w:b/>
              </w:rPr>
              <w:t xml:space="preserve"> </w:t>
            </w:r>
          </w:p>
        </w:tc>
        <w:tc>
          <w:tcPr>
            <w:tcW w:w="5149" w:type="dxa"/>
            <w:tcBorders>
              <w:top w:val="single" w:sz="4" w:space="0" w:color="000000"/>
              <w:left w:val="nil"/>
              <w:bottom w:val="single" w:sz="4" w:space="0" w:color="000000"/>
              <w:right w:val="single" w:sz="4" w:space="0" w:color="000000"/>
            </w:tcBorders>
          </w:tcPr>
          <w:p w14:paraId="1A780EC3" w14:textId="77777777" w:rsidR="00B43145" w:rsidRDefault="00B43145">
            <w:pPr>
              <w:spacing w:after="160" w:line="259" w:lineRule="auto"/>
              <w:ind w:left="0" w:right="0" w:firstLine="0"/>
              <w:jc w:val="left"/>
            </w:pPr>
          </w:p>
        </w:tc>
      </w:tr>
      <w:tr w:rsidR="00B43145" w14:paraId="75129F7A"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1366FBE3" w14:textId="77777777" w:rsidR="00B43145" w:rsidRDefault="00CF169F">
            <w:pPr>
              <w:spacing w:after="0" w:line="259" w:lineRule="auto"/>
              <w:ind w:left="0" w:right="0" w:firstLine="0"/>
              <w:jc w:val="left"/>
            </w:pPr>
            <w:r>
              <w:rPr>
                <w:b/>
              </w:rPr>
              <w:t xml:space="preserve">Body responsible for review: </w:t>
            </w:r>
          </w:p>
        </w:tc>
        <w:tc>
          <w:tcPr>
            <w:tcW w:w="5149" w:type="dxa"/>
            <w:tcBorders>
              <w:top w:val="single" w:sz="4" w:space="0" w:color="000000"/>
              <w:left w:val="single" w:sz="4" w:space="0" w:color="000000"/>
              <w:bottom w:val="single" w:sz="4" w:space="0" w:color="000000"/>
              <w:right w:val="single" w:sz="4" w:space="0" w:color="000000"/>
            </w:tcBorders>
          </w:tcPr>
          <w:p w14:paraId="70D9F82C" w14:textId="77777777" w:rsidR="00B43145" w:rsidRDefault="00CF169F">
            <w:pPr>
              <w:spacing w:after="0" w:line="259" w:lineRule="auto"/>
              <w:ind w:left="0" w:right="0" w:firstLine="0"/>
              <w:jc w:val="left"/>
            </w:pPr>
            <w:r>
              <w:t xml:space="preserve">Namibia Training Authority </w:t>
            </w:r>
          </w:p>
        </w:tc>
      </w:tr>
    </w:tbl>
    <w:p w14:paraId="667CEFF2" w14:textId="77777777" w:rsidR="00B43145" w:rsidRDefault="00CF169F">
      <w:pPr>
        <w:spacing w:after="0" w:line="259" w:lineRule="auto"/>
        <w:ind w:left="14" w:right="0" w:firstLine="0"/>
        <w:jc w:val="left"/>
      </w:pPr>
      <w:r>
        <w:rPr>
          <w:sz w:val="24"/>
        </w:rPr>
        <w:t xml:space="preserve"> </w:t>
      </w:r>
    </w:p>
    <w:p w14:paraId="620E1504" w14:textId="77777777" w:rsidR="00B43145" w:rsidRDefault="00CF169F">
      <w:pPr>
        <w:spacing w:after="0" w:line="259" w:lineRule="auto"/>
        <w:ind w:left="374" w:right="0" w:firstLine="0"/>
        <w:jc w:val="left"/>
      </w:pPr>
      <w:r>
        <w:t xml:space="preserve"> </w:t>
      </w:r>
    </w:p>
    <w:p w14:paraId="51492F31" w14:textId="77777777" w:rsidR="00B43145" w:rsidRDefault="00CF169F">
      <w:pPr>
        <w:spacing w:after="0" w:line="259" w:lineRule="auto"/>
        <w:ind w:left="374" w:right="0" w:firstLine="0"/>
        <w:jc w:val="left"/>
      </w:pPr>
      <w:r>
        <w:t xml:space="preserve"> </w:t>
      </w:r>
    </w:p>
    <w:p w14:paraId="7FA4447D" w14:textId="77777777" w:rsidR="00B43145" w:rsidRDefault="00CF169F">
      <w:pPr>
        <w:spacing w:after="1872" w:line="259" w:lineRule="auto"/>
        <w:ind w:left="14" w:right="0" w:firstLine="0"/>
        <w:jc w:val="left"/>
      </w:pPr>
      <w:r>
        <w:rPr>
          <w:rFonts w:ascii="Times New Roman" w:eastAsia="Times New Roman" w:hAnsi="Times New Roman" w:cs="Times New Roman"/>
          <w:sz w:val="24"/>
        </w:rPr>
        <w:t xml:space="preserve"> </w:t>
      </w:r>
    </w:p>
    <w:p w14:paraId="5BE45982" w14:textId="77777777" w:rsidR="00B43145" w:rsidRDefault="00CF169F">
      <w:pPr>
        <w:tabs>
          <w:tab w:val="center" w:pos="4695"/>
          <w:tab w:val="right" w:pos="9380"/>
        </w:tabs>
        <w:spacing w:after="0" w:line="259" w:lineRule="auto"/>
        <w:ind w:left="-1" w:right="-13" w:firstLine="0"/>
        <w:jc w:val="left"/>
      </w:pPr>
      <w:r>
        <w:rPr>
          <w:sz w:val="18"/>
        </w:rPr>
        <w:t xml:space="preserve">©Namibia Qualifications Authority </w:t>
      </w:r>
      <w:r>
        <w:rPr>
          <w:sz w:val="18"/>
        </w:rPr>
        <w:tab/>
        <w:t xml:space="preserve"> </w:t>
      </w:r>
      <w:r>
        <w:rPr>
          <w:sz w:val="18"/>
        </w:rPr>
        <w:tab/>
        <w:t xml:space="preserve">2 </w:t>
      </w:r>
    </w:p>
    <w:p w14:paraId="624AB1DB" w14:textId="77777777" w:rsidR="00B43145" w:rsidRDefault="00CF169F">
      <w:pPr>
        <w:spacing w:after="0" w:line="259" w:lineRule="auto"/>
        <w:ind w:left="14" w:right="0" w:firstLine="0"/>
        <w:jc w:val="left"/>
      </w:pPr>
      <w:r>
        <w:rPr>
          <w:sz w:val="18"/>
        </w:rPr>
        <w:t xml:space="preserve"> </w:t>
      </w:r>
    </w:p>
    <w:sectPr w:rsidR="00B43145">
      <w:pgSz w:w="12240" w:h="15840"/>
      <w:pgMar w:top="1442" w:right="1434" w:bottom="719"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200D3"/>
    <w:multiLevelType w:val="hybridMultilevel"/>
    <w:tmpl w:val="93080D46"/>
    <w:lvl w:ilvl="0" w:tplc="B2002A1A">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6CDAA">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B437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9A4C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2E5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3047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9463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308B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E39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C52006"/>
    <w:multiLevelType w:val="multilevel"/>
    <w:tmpl w:val="0409001F"/>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132959">
    <w:abstractNumId w:val="0"/>
  </w:num>
  <w:num w:numId="2" w16cid:durableId="124179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45"/>
    <w:rsid w:val="00054D9A"/>
    <w:rsid w:val="00082A7F"/>
    <w:rsid w:val="000F1A8B"/>
    <w:rsid w:val="001027B3"/>
    <w:rsid w:val="00113238"/>
    <w:rsid w:val="0016006E"/>
    <w:rsid w:val="00181B52"/>
    <w:rsid w:val="00210E98"/>
    <w:rsid w:val="002F02C7"/>
    <w:rsid w:val="00321BE0"/>
    <w:rsid w:val="00342929"/>
    <w:rsid w:val="00344C6B"/>
    <w:rsid w:val="00356829"/>
    <w:rsid w:val="004626A5"/>
    <w:rsid w:val="00474AAB"/>
    <w:rsid w:val="00562563"/>
    <w:rsid w:val="005666DF"/>
    <w:rsid w:val="005B7CA2"/>
    <w:rsid w:val="006701C1"/>
    <w:rsid w:val="00675FE8"/>
    <w:rsid w:val="006E1953"/>
    <w:rsid w:val="007C52F2"/>
    <w:rsid w:val="007F7D19"/>
    <w:rsid w:val="00803899"/>
    <w:rsid w:val="008A7D16"/>
    <w:rsid w:val="008B29D1"/>
    <w:rsid w:val="008C1706"/>
    <w:rsid w:val="00926ABF"/>
    <w:rsid w:val="00964099"/>
    <w:rsid w:val="009943F6"/>
    <w:rsid w:val="00A93925"/>
    <w:rsid w:val="00B27DC3"/>
    <w:rsid w:val="00B43145"/>
    <w:rsid w:val="00B64A84"/>
    <w:rsid w:val="00B73900"/>
    <w:rsid w:val="00BA163C"/>
    <w:rsid w:val="00BB707B"/>
    <w:rsid w:val="00BC2AEF"/>
    <w:rsid w:val="00BD0F5D"/>
    <w:rsid w:val="00BD662A"/>
    <w:rsid w:val="00BE13BD"/>
    <w:rsid w:val="00C13951"/>
    <w:rsid w:val="00CC5194"/>
    <w:rsid w:val="00CF169F"/>
    <w:rsid w:val="00D22842"/>
    <w:rsid w:val="00D36E2E"/>
    <w:rsid w:val="00D51C0C"/>
    <w:rsid w:val="00DB7F07"/>
    <w:rsid w:val="00E26DF9"/>
    <w:rsid w:val="00E633C1"/>
    <w:rsid w:val="00E63F3E"/>
    <w:rsid w:val="00E825AE"/>
    <w:rsid w:val="00EE3AE4"/>
    <w:rsid w:val="00F10E05"/>
    <w:rsid w:val="00F52D4C"/>
    <w:rsid w:val="00F6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0EEC4"/>
  <w15:docId w15:val="{53CD34DD-63DF-442E-BA83-F4ECCA3C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4" w:right="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24"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D6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62A"/>
    <w:rPr>
      <w:rFonts w:ascii="Segoe UI" w:eastAsia="Arial" w:hAnsi="Segoe UI" w:cs="Segoe UI"/>
      <w:color w:val="000000"/>
      <w:sz w:val="18"/>
      <w:szCs w:val="18"/>
    </w:rPr>
  </w:style>
  <w:style w:type="paragraph" w:styleId="ListParagraph">
    <w:name w:val="List Paragraph"/>
    <w:basedOn w:val="Normal"/>
    <w:uiPriority w:val="34"/>
    <w:qFormat/>
    <w:rsid w:val="008B29D1"/>
    <w:pPr>
      <w:ind w:left="720"/>
      <w:contextualSpacing/>
    </w:pPr>
  </w:style>
  <w:style w:type="character" w:styleId="Hyperlink">
    <w:name w:val="Hyperlink"/>
    <w:basedOn w:val="DefaultParagraphFont"/>
    <w:uiPriority w:val="99"/>
    <w:unhideWhenUsed/>
    <w:rsid w:val="00A93925"/>
    <w:rPr>
      <w:color w:val="0563C1" w:themeColor="hyperlink"/>
      <w:u w:val="single"/>
    </w:rPr>
  </w:style>
  <w:style w:type="paragraph" w:styleId="Revision">
    <w:name w:val="Revision"/>
    <w:hidden/>
    <w:uiPriority w:val="99"/>
    <w:semiHidden/>
    <w:rsid w:val="00B73900"/>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tyles" Target="styles.xml"/><Relationship Id="rId7" Type="http://schemas.openxmlformats.org/officeDocument/2006/relationships/hyperlink" Target="http://www.nta.com.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mqa.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FF7D1-B31F-4E73-AE71-610E9143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2506</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Malwa</dc:creator>
  <cp:keywords/>
  <cp:lastModifiedBy>Paulus Shoolongo</cp:lastModifiedBy>
  <cp:revision>3</cp:revision>
  <dcterms:created xsi:type="dcterms:W3CDTF">2026-02-18T14:14:00Z</dcterms:created>
  <dcterms:modified xsi:type="dcterms:W3CDTF">2026-02-23T09:45:00Z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8baeba9c5c6a4542e4708813b46766b106d88ba9078b3ce586c132fa55261b1d</vt:lpwstr>
  </property>
</Properties>
</file>